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178C" w14:textId="77777777" w:rsidR="00865C03" w:rsidRPr="00865C03" w:rsidRDefault="00865C03" w:rsidP="00865C03">
      <w:pPr>
        <w:spacing w:after="0" w:line="240" w:lineRule="auto"/>
        <w:rPr>
          <w:rFonts w:ascii="方正黑体_GBK" w:eastAsia="方正黑体_GBK" w:hAnsi="宋体" w:cs="宋体-方正超大字符集"/>
          <w:bCs/>
          <w:sz w:val="32"/>
          <w:szCs w:val="32"/>
          <w14:ligatures w14:val="none"/>
        </w:rPr>
      </w:pPr>
      <w:r w:rsidRPr="00865C03">
        <w:rPr>
          <w:rFonts w:ascii="方正黑体_GBK" w:eastAsia="方正黑体_GBK" w:hAnsi="宋体" w:cs="宋体-方正超大字符集"/>
          <w:bCs/>
          <w:sz w:val="32"/>
          <w:szCs w:val="32"/>
          <w14:ligatures w14:val="none"/>
        </w:rPr>
        <w:t>附件1</w:t>
      </w:r>
    </w:p>
    <w:p w14:paraId="41CE37A4" w14:textId="77777777" w:rsidR="00865C03" w:rsidRPr="00865C03" w:rsidRDefault="00865C03" w:rsidP="00865C03">
      <w:pPr>
        <w:spacing w:after="0" w:line="340" w:lineRule="atLeast"/>
        <w:jc w:val="center"/>
        <w:rPr>
          <w:rFonts w:ascii="方正小标宋_GBK" w:eastAsia="方正小标宋_GBK" w:hAnsi="仿宋" w:cs="Times New Roman"/>
          <w:sz w:val="44"/>
          <w:szCs w:val="44"/>
          <w14:ligatures w14:val="none"/>
        </w:rPr>
      </w:pPr>
      <w:r w:rsidRPr="00865C03">
        <w:rPr>
          <w:rFonts w:ascii="方正小标宋_GBK" w:eastAsia="方正小标宋_GBK" w:hAnsi="仿宋" w:cs="Times New Roman"/>
          <w:sz w:val="44"/>
          <w:szCs w:val="44"/>
          <w14:ligatures w14:val="none"/>
        </w:rPr>
        <w:t>校级本科智慧课程认定指标（试行）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2858"/>
        <w:gridCol w:w="8055"/>
        <w:gridCol w:w="875"/>
      </w:tblGrid>
      <w:tr w:rsidR="00865C03" w:rsidRPr="00865C03" w14:paraId="0D4D058C" w14:textId="77777777" w:rsidTr="0019783D">
        <w:trPr>
          <w:trHeight w:val="144"/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3969FE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b/>
                <w:bCs/>
                <w:sz w:val="24"/>
                <w14:ligatures w14:val="none"/>
              </w:rPr>
              <w:t>一级指标</w:t>
            </w: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A3FFD3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b/>
                <w:bCs/>
                <w:sz w:val="24"/>
                <w14:ligatures w14:val="none"/>
              </w:rPr>
              <w:t>二级指标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9A3797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b/>
                <w:bCs/>
                <w:sz w:val="24"/>
                <w14:ligatures w14:val="none"/>
              </w:rPr>
              <w:t>评分要点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53721A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b/>
                <w:bCs/>
                <w:sz w:val="24"/>
                <w14:ligatures w14:val="none"/>
              </w:rPr>
              <w:t>分值</w:t>
            </w:r>
          </w:p>
        </w:tc>
      </w:tr>
      <w:tr w:rsidR="00865C03" w:rsidRPr="00865C03" w14:paraId="0A302D9B" w14:textId="77777777" w:rsidTr="0019783D">
        <w:trPr>
          <w:trHeight w:val="144"/>
        </w:trPr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DA84E1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b/>
                <w:bCs/>
                <w:sz w:val="24"/>
                <w14:ligatures w14:val="none"/>
              </w:rPr>
              <w:t>一、课程理念与目标</w:t>
            </w: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（10分）</w:t>
            </w: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288E59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坚持立德树人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E9A14F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坚持立德树人，以学生为中心，坚持价值引领、知识传授、能力培养三位一体，以价值导向引领技术导向，确保课程教学对学生树立正确世界观、人生观、价值观的支撑。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DE1749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4</w:t>
            </w:r>
          </w:p>
        </w:tc>
      </w:tr>
      <w:tr w:rsidR="00865C03" w:rsidRPr="00865C03" w14:paraId="722024A5" w14:textId="77777777" w:rsidTr="0019783D">
        <w:trPr>
          <w:trHeight w:val="803"/>
        </w:trPr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523DDD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1C4E14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对接人才培养需求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EC4CC7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精准对接专业人才培养目标与新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质人才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培养需求，满足学生个性化发展及创新能力培养需求，有效培养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学生数智素养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、人机协同、批判思维与终身学习能力。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4A3D58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3</w:t>
            </w:r>
          </w:p>
        </w:tc>
      </w:tr>
      <w:tr w:rsidR="00865C03" w:rsidRPr="00865C03" w14:paraId="51F9ED87" w14:textId="77777777" w:rsidTr="0019783D">
        <w:trPr>
          <w:trHeight w:val="693"/>
        </w:trPr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2AB950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141724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符合教育规律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C89B30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能结合教育规律，充分体现“两性一度”课程建设要求，课程目标清晰、可衡量、可达成。科学合理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应用数智技术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，技术使用符合伦理道德、公序良俗和法律法规。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F67BD7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3</w:t>
            </w:r>
          </w:p>
        </w:tc>
      </w:tr>
      <w:tr w:rsidR="00865C03" w:rsidRPr="00865C03" w14:paraId="713D510B" w14:textId="77777777" w:rsidTr="0019783D">
        <w:trPr>
          <w:trHeight w:val="144"/>
        </w:trPr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1A28C9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b/>
                <w:bCs/>
                <w:sz w:val="24"/>
                <w14:ligatures w14:val="none"/>
              </w:rPr>
              <w:t>二、课程内容与资源建设</w:t>
            </w: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（25分）</w:t>
            </w: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9B9192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内容重构优化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2C4CE7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融入学科前沿、行业实践与最新成果，强化科教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融汇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、产教融合，能基于知识图谱、能力图谱、问题图谱、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课程思政图谱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等重构内容体系。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8F22F8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5</w:t>
            </w:r>
          </w:p>
        </w:tc>
      </w:tr>
      <w:tr w:rsidR="00865C03" w:rsidRPr="00865C03" w14:paraId="1AD21287" w14:textId="77777777" w:rsidTr="0019783D">
        <w:trPr>
          <w:trHeight w:val="349"/>
        </w:trPr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5B01BD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5E9B7C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多元图谱设计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7FA622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bookmarkStart w:id="0" w:name="OLE_LINK10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建有知识图谱（必建）、能力图谱（必建）、问题图谱（必建）、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课程思政图谱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等。</w:t>
            </w:r>
          </w:p>
          <w:bookmarkEnd w:id="0"/>
          <w:p w14:paraId="4A154822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lastRenderedPageBreak/>
              <w:t>（1）知识图谱呈网状、可视化，颗粒度合理，能</w:t>
            </w:r>
            <w:r w:rsidRPr="00865C03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>正确梳理知识点属性，</w:t>
            </w: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关联资源充分，</w:t>
            </w:r>
            <w:proofErr w:type="gramStart"/>
            <w:r w:rsidRPr="00865C03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>总知识</w:t>
            </w:r>
            <w:proofErr w:type="gramEnd"/>
            <w:r w:rsidRPr="00865C03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>点100-160个，每学分≥50个知识点，关联资源≥80%、关联试题≥90%，知识点网状结构关联比例≥70%。，鼓励依据学科特点个性化设计。</w:t>
            </w:r>
          </w:p>
          <w:p w14:paraId="2D7D1BC4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>（2）能力图谱呈网状、可视化，与知识、问题、</w:t>
            </w:r>
            <w:proofErr w:type="gramStart"/>
            <w:r w:rsidRPr="00865C03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>课程思政等</w:t>
            </w:r>
            <w:proofErr w:type="gramEnd"/>
            <w:r w:rsidRPr="00865C03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>图谱深度关联，分配合理，支撑度高，每门</w:t>
            </w:r>
            <w:proofErr w:type="gramStart"/>
            <w:r w:rsidRPr="00865C03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>课核心</w:t>
            </w:r>
            <w:proofErr w:type="gramEnd"/>
            <w:r w:rsidRPr="00865C03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>能力≥2项，子能力4-8个，关联知识图谱≥85%、关联问题图谱≥90%，每个能力点有明确评估标准。</w:t>
            </w:r>
          </w:p>
          <w:p w14:paraId="339EF8C2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（3）问题图谱围绕课程目标梳理问题架构，架设疑难复杂问题（第一层级）、组合问题（第二层级）、基本问题（第三层级）。基本问题的建设不少于每学分12个问题，关联知识点总数不少于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每问题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4个知识点；组合问题的建设不少于每学分8个问题，关联知识点总数不少于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每问题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8个知识点；疑难复杂问题的建设不少于每学分2个问题，关联知识点总数不少于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每问题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12个知识点。</w:t>
            </w:r>
          </w:p>
          <w:p w14:paraId="74B9FA0C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（4）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课程思政图谱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覆盖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思政知识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点≥20个，关联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思政资源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≥50个。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BA9AD1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lastRenderedPageBreak/>
              <w:t>10</w:t>
            </w:r>
          </w:p>
        </w:tc>
      </w:tr>
      <w:tr w:rsidR="00865C03" w:rsidRPr="00865C03" w14:paraId="130FFF3C" w14:textId="77777777" w:rsidTr="0019783D">
        <w:trPr>
          <w:trHeight w:val="811"/>
        </w:trPr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1D8D47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C1942A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数字资源优质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5DF203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多模态资源系统完整，建有视频、课件、教案、试题库、案例库等；每学分授课视频≥120分钟，2学分及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以上≥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300分钟；资源分类清晰、可检索、可关联，更新及时、知识产权合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规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。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1A4684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5</w:t>
            </w:r>
          </w:p>
        </w:tc>
      </w:tr>
      <w:tr w:rsidR="00865C03" w:rsidRPr="00865C03" w14:paraId="1585E5C5" w14:textId="77777777" w:rsidTr="0019783D">
        <w:trPr>
          <w:trHeight w:val="144"/>
        </w:trPr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BF6CFF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C5686D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AI知识库完善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43E5C0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建成课程专属AI知识库，关联教材、教案、课件、案例等；问答库≥20条，覆盖概念、应用、拓展类问题，AI回答准确率≥90%。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D1F3E1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5</w:t>
            </w:r>
          </w:p>
        </w:tc>
      </w:tr>
      <w:tr w:rsidR="00865C03" w:rsidRPr="00865C03" w14:paraId="2438258E" w14:textId="77777777" w:rsidTr="0019783D">
        <w:trPr>
          <w:trHeight w:val="144"/>
        </w:trPr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CC60AD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b/>
                <w:bCs/>
                <w:sz w:val="24"/>
                <w14:ligatures w14:val="none"/>
              </w:rPr>
              <w:lastRenderedPageBreak/>
              <w:t>三、智慧教学工具与场景</w:t>
            </w: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（25分）</w:t>
            </w: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A5A9D5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智能工具应用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713A2E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常态化使用AI助教、智能备课、智能答疑、资源智能推荐、学情分析等；自主开发教学智能体、数字人等，形成“师-生-机”三元协同模式。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D1BC78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10</w:t>
            </w:r>
          </w:p>
        </w:tc>
      </w:tr>
      <w:tr w:rsidR="00865C03" w:rsidRPr="00865C03" w14:paraId="144ACCA0" w14:textId="77777777" w:rsidTr="0019783D">
        <w:trPr>
          <w:trHeight w:val="144"/>
        </w:trPr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0589E3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878004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教学场景多元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46D5EB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运用虚拟仿真、数字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孪生等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技术搭建虚拟实验室、泛在学习社区等虚实融合场景。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89889E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7</w:t>
            </w:r>
          </w:p>
        </w:tc>
      </w:tr>
      <w:tr w:rsidR="00865C03" w:rsidRPr="00865C03" w14:paraId="589624E4" w14:textId="77777777" w:rsidTr="0019783D">
        <w:trPr>
          <w:trHeight w:val="144"/>
        </w:trPr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98C496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BA5EC9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平台运行稳定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D30E43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依托校外智慧教学平台或自建平台，交互友好、数据可追溯。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D6FC34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8</w:t>
            </w:r>
          </w:p>
        </w:tc>
      </w:tr>
      <w:tr w:rsidR="00865C03" w:rsidRPr="00865C03" w14:paraId="172D1AE9" w14:textId="77777777" w:rsidTr="0019783D">
        <w:trPr>
          <w:trHeight w:val="144"/>
        </w:trPr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121C0B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b/>
                <w:bCs/>
                <w:sz w:val="24"/>
                <w14:ligatures w14:val="none"/>
              </w:rPr>
              <w:t>四、教学实施与学情分析</w:t>
            </w: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（20分）</w:t>
            </w: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CA83F9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教学模式创新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35C737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深度混合式教学，项目式、探究式、任务驱动等方法应用到位，任务引擎支撑个性化学习路径。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286810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7</w:t>
            </w:r>
          </w:p>
        </w:tc>
      </w:tr>
      <w:tr w:rsidR="00865C03" w:rsidRPr="00865C03" w14:paraId="2CD8B970" w14:textId="77777777" w:rsidTr="0019783D">
        <w:trPr>
          <w:trHeight w:val="144"/>
        </w:trPr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6E221B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1F27E4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学情分析精准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4A5DF8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基于大数据/大模型实时监测学习行为，生成学生画像与教学决策建议；精准诊断薄弱点，动态调整教学策略，实现因材施教。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03F4F2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7</w:t>
            </w:r>
          </w:p>
        </w:tc>
      </w:tr>
      <w:tr w:rsidR="00865C03" w:rsidRPr="00865C03" w14:paraId="5E280E10" w14:textId="77777777" w:rsidTr="0019783D">
        <w:trPr>
          <w:trHeight w:val="144"/>
        </w:trPr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4EC925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87408C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过程管理规范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C405DC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教学活动设计完整、线上线下衔接顺畅，学生参与度高、互动充分。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21C24E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6</w:t>
            </w:r>
          </w:p>
        </w:tc>
      </w:tr>
      <w:tr w:rsidR="00865C03" w:rsidRPr="00865C03" w14:paraId="03C95E52" w14:textId="77777777" w:rsidTr="0019783D">
        <w:trPr>
          <w:trHeight w:val="1075"/>
        </w:trPr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B072F3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b/>
                <w:bCs/>
                <w:sz w:val="24"/>
                <w14:ligatures w14:val="none"/>
              </w:rPr>
              <w:t>五、教学成效与创新</w:t>
            </w: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（20分）</w:t>
            </w: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36A6C6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评价体系智能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A8D33F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形成性评价与终结性评价相结合，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数智技术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赋能过程性评价、自动批阅、智能反馈。评价主体多元、维度全面，可衡量目标达成度。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BCDF24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5</w:t>
            </w:r>
          </w:p>
        </w:tc>
      </w:tr>
      <w:tr w:rsidR="00865C03" w:rsidRPr="00865C03" w14:paraId="53387CF9" w14:textId="77777777" w:rsidTr="0019783D">
        <w:trPr>
          <w:trHeight w:val="144"/>
        </w:trPr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341507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1791F2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教学成效显著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46DA09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学生学习主动性、满意度、成绩明显提升，知识点掌握率≥85%，学生评</w:t>
            </w: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lastRenderedPageBreak/>
              <w:t>教结果优良。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27857A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lastRenderedPageBreak/>
              <w:t>5</w:t>
            </w:r>
          </w:p>
        </w:tc>
      </w:tr>
      <w:tr w:rsidR="00865C03" w:rsidRPr="00865C03" w14:paraId="1862F636" w14:textId="77777777" w:rsidTr="0019783D">
        <w:trPr>
          <w:trHeight w:val="144"/>
        </w:trPr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1F4CA0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CB6CBF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课程改革有效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178DF7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能合理利用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数智技术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解决教学痛点，有意识地收集数据进行教学反思、教学研究和教学改进，证明课程改革实施的有效性。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AE0782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5</w:t>
            </w:r>
          </w:p>
        </w:tc>
      </w:tr>
      <w:tr w:rsidR="00865C03" w:rsidRPr="00865C03" w14:paraId="45FB5EA6" w14:textId="77777777" w:rsidTr="0019783D">
        <w:trPr>
          <w:trHeight w:val="144"/>
        </w:trPr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8C27BF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8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DD91B8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模式创新与推广</w:t>
            </w:r>
          </w:p>
        </w:tc>
        <w:tc>
          <w:tcPr>
            <w:tcW w:w="80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2C16B0" w14:textId="77777777" w:rsidR="00865C03" w:rsidRPr="00865C03" w:rsidRDefault="00865C03" w:rsidP="00865C03">
            <w:pPr>
              <w:snapToGrid w:val="0"/>
              <w:spacing w:after="0" w:line="240" w:lineRule="atLeast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课程建设能充分体现学科特色与教学创新，能</w:t>
            </w:r>
            <w:proofErr w:type="gramStart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合理总结</w:t>
            </w:r>
            <w:proofErr w:type="gramEnd"/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凝练课程模式，课程教学改革具有示范性与推广价值，可复制、可推广。</w:t>
            </w:r>
          </w:p>
        </w:tc>
        <w:tc>
          <w:tcPr>
            <w:tcW w:w="8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6F256B" w14:textId="77777777" w:rsidR="00865C03" w:rsidRPr="00865C03" w:rsidRDefault="00865C03" w:rsidP="00865C03">
            <w:pPr>
              <w:snapToGrid w:val="0"/>
              <w:spacing w:after="0" w:line="240" w:lineRule="atLeast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65C03">
              <w:rPr>
                <w:rFonts w:ascii="宋体" w:eastAsia="宋体" w:hAnsi="宋体" w:cs="Times New Roman"/>
                <w:sz w:val="24"/>
                <w14:ligatures w14:val="none"/>
              </w:rPr>
              <w:t>5</w:t>
            </w:r>
          </w:p>
        </w:tc>
      </w:tr>
    </w:tbl>
    <w:p w14:paraId="576AEBE8" w14:textId="77777777" w:rsidR="00865C03" w:rsidRPr="00865C03" w:rsidRDefault="00865C03" w:rsidP="00865C03">
      <w:pPr>
        <w:snapToGrid w:val="0"/>
        <w:spacing w:after="0" w:line="360" w:lineRule="auto"/>
        <w:rPr>
          <w:rFonts w:ascii="宋体" w:eastAsia="宋体" w:hAnsi="宋体" w:cs="Times New Roman"/>
          <w:sz w:val="28"/>
          <w:szCs w:val="28"/>
          <w14:ligatures w14:val="none"/>
        </w:rPr>
      </w:pPr>
      <w:r w:rsidRPr="00865C03">
        <w:rPr>
          <w:rFonts w:ascii="宋体" w:eastAsia="宋体" w:hAnsi="宋体" w:cs="Times New Roman"/>
          <w:sz w:val="28"/>
          <w:szCs w:val="28"/>
          <w14:ligatures w14:val="none"/>
        </w:rPr>
        <w:t>*本标准共设5个一级指标点、17个二级指标点，满分为100分。申报课程应参照本标准进行自评与建设。</w:t>
      </w:r>
    </w:p>
    <w:p w14:paraId="3BE908CF" w14:textId="77777777" w:rsidR="00865C03" w:rsidRPr="00865C03" w:rsidRDefault="00865C03" w:rsidP="00865C03">
      <w:pPr>
        <w:spacing w:after="0" w:line="240" w:lineRule="auto"/>
        <w:rPr>
          <w:rFonts w:ascii="方正黑体_GBK" w:eastAsia="方正黑体_GBK" w:hAnsi="宋体" w:cs="宋体-方正超大字符集"/>
          <w:bCs/>
          <w:sz w:val="32"/>
          <w:szCs w:val="32"/>
          <w14:ligatures w14:val="none"/>
        </w:rPr>
      </w:pPr>
    </w:p>
    <w:p w14:paraId="15C391B6" w14:textId="77777777" w:rsidR="00865C03" w:rsidRPr="00865C03" w:rsidRDefault="00865C03">
      <w:pPr>
        <w:rPr>
          <w:rFonts w:hint="eastAsia"/>
        </w:rPr>
      </w:pPr>
    </w:p>
    <w:sectPr w:rsidR="00865C03" w:rsidRPr="00865C03" w:rsidSect="00865C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方正超大字符集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03"/>
    <w:rsid w:val="004F405B"/>
    <w:rsid w:val="0086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F7AF"/>
  <w15:chartTrackingRefBased/>
  <w15:docId w15:val="{7F11E235-4330-46C9-B9BB-26E760B7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884</Characters>
  <Application>Microsoft Office Word</Application>
  <DocSecurity>0</DocSecurity>
  <Lines>88</Lines>
  <Paragraphs>63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SUN</dc:creator>
  <cp:keywords/>
  <dc:description/>
  <cp:lastModifiedBy>Tian SUN</cp:lastModifiedBy>
  <cp:revision>1</cp:revision>
  <dcterms:created xsi:type="dcterms:W3CDTF">2026-05-11T02:19:00Z</dcterms:created>
  <dcterms:modified xsi:type="dcterms:W3CDTF">2026-05-11T02:19:00Z</dcterms:modified>
</cp:coreProperties>
</file>