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0" w:beforeAutospacing="0" w:after="0" w:afterAutospacing="0" w:line="560" w:lineRule="exact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：</w:t>
      </w:r>
    </w:p>
    <w:p>
      <w:pPr>
        <w:pStyle w:val="4"/>
        <w:adjustRightInd w:val="0"/>
        <w:snapToGrid w:val="0"/>
        <w:spacing w:before="0" w:beforeAutospacing="0" w:after="0" w:afterAutospacing="0" w:line="560" w:lineRule="exact"/>
        <w:jc w:val="center"/>
        <w:rPr>
          <w:rFonts w:hint="eastAsia" w:ascii="黑体" w:hAnsi="黑体" w:eastAsia="黑体" w:cs="黑体"/>
          <w:color w:val="000000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中国药科大学大学生创新创业训练计划项目经费说明</w:t>
      </w:r>
    </w:p>
    <w:p>
      <w:pPr>
        <w:pStyle w:val="4"/>
        <w:adjustRightInd w:val="0"/>
        <w:snapToGrid w:val="0"/>
        <w:spacing w:before="0" w:beforeAutospacing="0" w:after="0" w:afterAutospacing="0" w:line="560" w:lineRule="exact"/>
        <w:jc w:val="center"/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2024年度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eastAsia="zh-CN"/>
        </w:rPr>
        <w:t>）</w:t>
      </w:r>
    </w:p>
    <w:p>
      <w:pPr>
        <w:tabs>
          <w:tab w:val="left" w:pos="630"/>
        </w:tabs>
        <w:adjustRightInd w:val="0"/>
        <w:snapToGrid w:val="0"/>
        <w:spacing w:line="360" w:lineRule="auto"/>
        <w:ind w:firstLine="560" w:firstLineChars="200"/>
        <w:rPr>
          <w:rFonts w:ascii="方正楷体_GBK" w:hAnsi="方正楷体_GBK" w:eastAsia="方正楷体_GBK" w:cs="方正楷体_GBK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一、经费使用</w:t>
      </w:r>
    </w:p>
    <w:p>
      <w:pPr>
        <w:tabs>
          <w:tab w:val="left" w:pos="630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1、大创项目经费由学校“双一流”专项经费拨付，按照《中国药科大学关于科研经费报销管理的规定》实报实销，指导教师负责管理项目经费和规范支出。</w:t>
      </w:r>
    </w:p>
    <w:p>
      <w:pPr>
        <w:tabs>
          <w:tab w:val="left" w:pos="630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对于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国家级项目，启动经费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于立项后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拨付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，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需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于2023年12月20日前使用完毕；中期经费于初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期检查后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拨付，需于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11月30日前使用完毕。</w:t>
      </w:r>
    </w:p>
    <w:p>
      <w:pPr>
        <w:tabs>
          <w:tab w:val="left" w:pos="630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3、对于新申报项目，立项后暂不拨付经费，经费于初期检查后统一拨付；经费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分别于6月30日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前使用至50%、8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月30日前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使用至75%、11月30日前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使用完毕。</w:t>
      </w:r>
    </w:p>
    <w:p>
      <w:pPr>
        <w:tabs>
          <w:tab w:val="left" w:pos="630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/>
        </w:rPr>
        <w:t>新立项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项目团队前期孵化需注意合规开具相关票据，并妥善留存，初期检查时需拍照提交。</w:t>
      </w:r>
    </w:p>
    <w:p>
      <w:pPr>
        <w:tabs>
          <w:tab w:val="left" w:pos="630"/>
        </w:tabs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二、项目资助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经费</w:t>
      </w:r>
    </w:p>
    <w:p>
      <w:pPr>
        <w:tabs>
          <w:tab w:val="left" w:pos="630"/>
        </w:tabs>
        <w:adjustRightInd w:val="0"/>
        <w:snapToGrid w:val="0"/>
        <w:spacing w:line="36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国家级10000元/项，省级5000元/项，校级3000元/项。</w:t>
      </w:r>
    </w:p>
    <w:p>
      <w:pPr>
        <w:tabs>
          <w:tab w:val="left" w:pos="630"/>
        </w:tabs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三、项目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奖励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经费</w:t>
      </w:r>
    </w:p>
    <w:p>
      <w:pPr>
        <w:tabs>
          <w:tab w:val="left" w:pos="630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成果奖励经费由项目组自主申报、教务处审核认定后拨付，结题验收时由教务处通知集中申报，相关成果行为发生时间须在项目立项之后，标准和额度如下：</w:t>
      </w:r>
    </w:p>
    <w:p>
      <w:pPr>
        <w:numPr>
          <w:ilvl w:val="0"/>
          <w:numId w:val="1"/>
        </w:numPr>
        <w:tabs>
          <w:tab w:val="left" w:pos="630"/>
        </w:tabs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论文</w:t>
      </w:r>
    </w:p>
    <w:tbl>
      <w:tblPr>
        <w:tblStyle w:val="6"/>
        <w:tblW w:w="488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1"/>
        <w:gridCol w:w="2934"/>
        <w:gridCol w:w="2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437" w:type="pct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项目性质</w:t>
            </w:r>
          </w:p>
        </w:tc>
        <w:tc>
          <w:tcPr>
            <w:tcW w:w="1763" w:type="pct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SCI\CSSCI</w:t>
            </w:r>
          </w:p>
        </w:tc>
        <w:tc>
          <w:tcPr>
            <w:tcW w:w="1798" w:type="pct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中文核心期刊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437" w:type="pct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理工类</w:t>
            </w:r>
          </w:p>
        </w:tc>
        <w:tc>
          <w:tcPr>
            <w:tcW w:w="1763" w:type="pct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2000元</w:t>
            </w:r>
          </w:p>
        </w:tc>
        <w:tc>
          <w:tcPr>
            <w:tcW w:w="1798" w:type="pct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1000元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37" w:type="pct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人文社科/创业类</w:t>
            </w:r>
          </w:p>
        </w:tc>
        <w:tc>
          <w:tcPr>
            <w:tcW w:w="1763" w:type="pct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2000元</w:t>
            </w:r>
          </w:p>
        </w:tc>
        <w:tc>
          <w:tcPr>
            <w:tcW w:w="1798" w:type="pct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1500元</w:t>
            </w:r>
          </w:p>
        </w:tc>
      </w:tr>
    </w:tbl>
    <w:p>
      <w:pPr>
        <w:numPr>
          <w:ilvl w:val="0"/>
          <w:numId w:val="0"/>
        </w:numPr>
        <w:tabs>
          <w:tab w:val="left" w:pos="630"/>
        </w:tabs>
        <w:adjustRightInd w:val="0"/>
        <w:snapToGrid w:val="0"/>
        <w:spacing w:line="36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所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发表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学术论文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与课题相关的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论文作者前3位须有项目本科生成员姓名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且标注基金项目：“国家级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/省级/中国药科大学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大学生创新创业训练计划项目（项目号：***）”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或“National</w:t>
      </w:r>
      <w:r>
        <w:rPr>
          <w:rFonts w:ascii="Calibri" w:hAnsi="Calibri" w:eastAsia="仿宋" w:cs="Calibri"/>
          <w:color w:val="000000"/>
          <w:sz w:val="28"/>
          <w:szCs w:val="28"/>
        </w:rPr>
        <w:t> 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Innovation and Entrepreneurship Training Program for Undergraduate（No.</w:t>
      </w:r>
      <w:r>
        <w:rPr>
          <w:rFonts w:ascii="仿宋" w:hAnsi="仿宋" w:eastAsia="仿宋" w:cs="仿宋"/>
          <w:color w:val="000000"/>
          <w:sz w:val="28"/>
          <w:szCs w:val="28"/>
        </w:rPr>
        <w:t>***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）”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，以录用通知或正式见刊为准，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理工类综述论文奖励经费减半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tabs>
          <w:tab w:val="left" w:pos="630"/>
        </w:tabs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专利（软件著作权）</w:t>
      </w:r>
    </w:p>
    <w:tbl>
      <w:tblPr>
        <w:tblStyle w:val="6"/>
        <w:tblpPr w:leftFromText="180" w:rightFromText="180" w:vertAnchor="text" w:horzAnchor="page" w:tblpX="1785" w:tblpY="223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3"/>
        <w:gridCol w:w="3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936" w:type="pct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2063" w:type="pct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奖励经费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936" w:type="pct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发明专利</w:t>
            </w:r>
          </w:p>
        </w:tc>
        <w:tc>
          <w:tcPr>
            <w:tcW w:w="2063" w:type="pct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1500元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936" w:type="pct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实用新型专利</w:t>
            </w:r>
          </w:p>
        </w:tc>
        <w:tc>
          <w:tcPr>
            <w:tcW w:w="2063" w:type="pct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500元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936" w:type="pct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外观设计专利</w:t>
            </w:r>
          </w:p>
        </w:tc>
        <w:tc>
          <w:tcPr>
            <w:tcW w:w="2063" w:type="pct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500元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936" w:type="pct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软件著作权</w:t>
            </w:r>
          </w:p>
        </w:tc>
        <w:tc>
          <w:tcPr>
            <w:tcW w:w="2063" w:type="pct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630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500元</w:t>
            </w:r>
          </w:p>
        </w:tc>
      </w:tr>
    </w:tbl>
    <w:p>
      <w:pPr>
        <w:numPr>
          <w:ilvl w:val="0"/>
          <w:numId w:val="0"/>
        </w:numPr>
        <w:tabs>
          <w:tab w:val="left" w:pos="630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申请与课题相关专利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软件著作权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并公开，专利申请人中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前三须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有项目本科生成员姓名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。</w:t>
      </w:r>
    </w:p>
    <w:p>
      <w:pPr>
        <w:numPr>
          <w:ilvl w:val="0"/>
          <w:numId w:val="1"/>
        </w:numPr>
        <w:tabs>
          <w:tab w:val="left" w:pos="630"/>
        </w:tabs>
        <w:adjustRightInd w:val="0"/>
        <w:snapToGrid w:val="0"/>
        <w:spacing w:line="360" w:lineRule="auto"/>
        <w:ind w:left="0" w:leftChars="0" w:firstLine="562" w:firstLineChars="200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其他</w:t>
      </w:r>
    </w:p>
    <w:p>
      <w:pPr>
        <w:numPr>
          <w:ilvl w:val="0"/>
          <w:numId w:val="0"/>
        </w:numPr>
        <w:tabs>
          <w:tab w:val="left" w:pos="630"/>
        </w:tabs>
        <w:adjustRightInd w:val="0"/>
        <w:snapToGrid w:val="0"/>
        <w:spacing w:line="36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由教务处认定的其他形式的重大成果（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注册公司、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8"/>
          <w:szCs w:val="28"/>
        </w:rPr>
        <w:t>重要学术会议报告人、竞争性评定获得的优秀论文、国家级媒体专题报道等），另行奖励。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D048CF"/>
    <w:multiLevelType w:val="singleLevel"/>
    <w:tmpl w:val="E3D048C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mMGU2ZjI3NDU1MGQ5N2IzMmRkMGFhOGVhMThhY2MifQ=="/>
  </w:docVars>
  <w:rsids>
    <w:rsidRoot w:val="5C8357F4"/>
    <w:rsid w:val="00060201"/>
    <w:rsid w:val="000A7312"/>
    <w:rsid w:val="00294139"/>
    <w:rsid w:val="002A1D48"/>
    <w:rsid w:val="00423B42"/>
    <w:rsid w:val="004C7AD3"/>
    <w:rsid w:val="005F320C"/>
    <w:rsid w:val="00653A8D"/>
    <w:rsid w:val="006F714E"/>
    <w:rsid w:val="008F0BDC"/>
    <w:rsid w:val="00BC458E"/>
    <w:rsid w:val="00EB5879"/>
    <w:rsid w:val="00F03765"/>
    <w:rsid w:val="00FF4B0B"/>
    <w:rsid w:val="04A55C80"/>
    <w:rsid w:val="074E57DA"/>
    <w:rsid w:val="0820193F"/>
    <w:rsid w:val="0BA04D77"/>
    <w:rsid w:val="0BBD7FE2"/>
    <w:rsid w:val="0D1404DE"/>
    <w:rsid w:val="112777F0"/>
    <w:rsid w:val="112B5B3F"/>
    <w:rsid w:val="16FD23C5"/>
    <w:rsid w:val="17A83291"/>
    <w:rsid w:val="18123B4D"/>
    <w:rsid w:val="1ABC294A"/>
    <w:rsid w:val="1CD97DD1"/>
    <w:rsid w:val="1D3764AF"/>
    <w:rsid w:val="1EE84BCF"/>
    <w:rsid w:val="1F2831F7"/>
    <w:rsid w:val="25866EFF"/>
    <w:rsid w:val="29B5431E"/>
    <w:rsid w:val="2AFF6B9A"/>
    <w:rsid w:val="2EEF11BD"/>
    <w:rsid w:val="30590D3B"/>
    <w:rsid w:val="36393E69"/>
    <w:rsid w:val="37826121"/>
    <w:rsid w:val="39E346DB"/>
    <w:rsid w:val="3C1F5937"/>
    <w:rsid w:val="3D9449C2"/>
    <w:rsid w:val="3EC05EAD"/>
    <w:rsid w:val="3F352115"/>
    <w:rsid w:val="41AF5B32"/>
    <w:rsid w:val="43FF15AC"/>
    <w:rsid w:val="45BE781E"/>
    <w:rsid w:val="479A54F2"/>
    <w:rsid w:val="49F033BE"/>
    <w:rsid w:val="4A235B87"/>
    <w:rsid w:val="4BD74836"/>
    <w:rsid w:val="4C8936DC"/>
    <w:rsid w:val="503F71C6"/>
    <w:rsid w:val="540D2C6B"/>
    <w:rsid w:val="594C398F"/>
    <w:rsid w:val="5C8357F4"/>
    <w:rsid w:val="5E944EED"/>
    <w:rsid w:val="63385777"/>
    <w:rsid w:val="657A02B4"/>
    <w:rsid w:val="6A072348"/>
    <w:rsid w:val="6D76234F"/>
    <w:rsid w:val="708F29F8"/>
    <w:rsid w:val="76C441BD"/>
    <w:rsid w:val="77866005"/>
    <w:rsid w:val="7BA81DB4"/>
    <w:rsid w:val="7BD04D00"/>
    <w:rsid w:val="7CB70A8B"/>
    <w:rsid w:val="7D1821F6"/>
    <w:rsid w:val="7DA87D1F"/>
    <w:rsid w:val="7E3C2153"/>
    <w:rsid w:val="7F1033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 w:line="15" w:lineRule="atLeast"/>
      <w:jc w:val="left"/>
    </w:pPr>
    <w:rPr>
      <w:rFonts w:ascii="微软雅黑" w:hAnsi="微软雅黑" w:eastAsia="微软雅黑"/>
      <w:color w:val="585858"/>
      <w:kern w:val="0"/>
      <w:sz w:val="19"/>
      <w:szCs w:val="19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脚 字符"/>
    <w:link w:val="2"/>
    <w:uiPriority w:val="0"/>
    <w:rPr>
      <w:kern w:val="2"/>
      <w:sz w:val="18"/>
      <w:szCs w:val="18"/>
    </w:rPr>
  </w:style>
  <w:style w:type="character" w:customStyle="1" w:styleId="10">
    <w:name w:val="页眉 字符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235</Words>
  <Characters>1345</Characters>
  <Lines>11</Lines>
  <Paragraphs>3</Paragraphs>
  <TotalTime>2</TotalTime>
  <ScaleCrop>false</ScaleCrop>
  <LinksUpToDate>false</LinksUpToDate>
  <CharactersWithSpaces>1577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2020-09-04T05:57:00Z</dcterms:created>
  <dc:creator>jwk</dc:creator>
  <cp:lastModifiedBy>窦晓睿</cp:lastModifiedBy>
  <cp:lastPrinted>2023-12-12T03:33:00Z</cp:lastPrinted>
  <dcterms:modified xsi:type="dcterms:W3CDTF">2023-12-12T06:49:17Z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C0B9F54606CD407D83AC260EA2B7E4A1_13</vt:lpwstr>
  </property>
</Properties>
</file>